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FA4BA" w14:textId="77777777" w:rsidR="006D5973" w:rsidRPr="00CA4FEE" w:rsidRDefault="006D5973" w:rsidP="006D5973">
      <w:pPr>
        <w:jc w:val="both"/>
        <w:rPr>
          <w:b/>
          <w:bCs/>
          <w:color w:val="00B0F0"/>
          <w:sz w:val="24"/>
          <w:szCs w:val="24"/>
        </w:rPr>
      </w:pPr>
      <w:r w:rsidRPr="00CA4FEE">
        <w:rPr>
          <w:b/>
          <w:bCs/>
          <w:color w:val="00B0F0"/>
          <w:sz w:val="24"/>
          <w:szCs w:val="24"/>
        </w:rPr>
        <w:t>Textes communautaires et régionaux de la CEDEAO régissant le commerce des produits Agricoles</w:t>
      </w:r>
    </w:p>
    <w:p w14:paraId="40CF6BFB" w14:textId="77777777" w:rsidR="006D5973" w:rsidRPr="00CA4FEE" w:rsidRDefault="006D5973" w:rsidP="006D5973">
      <w:pPr>
        <w:spacing w:after="0"/>
        <w:jc w:val="both"/>
      </w:pPr>
      <w:r w:rsidRPr="00CA4FEE">
        <w:rPr>
          <w:b/>
          <w:bCs/>
        </w:rPr>
        <w:t>Règlement C/REG.3/05/2008 du 18 mai 2008,</w:t>
      </w:r>
      <w:r w:rsidRPr="00CA4FEE">
        <w:t xml:space="preserve"> portant harmonisation des règles régissant l’homologation des pesticides dans l’espace CEDEAO </w:t>
      </w:r>
    </w:p>
    <w:p w14:paraId="706E520C" w14:textId="77777777" w:rsidR="006D5973" w:rsidRPr="00CA4FEE" w:rsidRDefault="006D5973" w:rsidP="006D5973">
      <w:pPr>
        <w:pStyle w:val="Paragraphedeliste"/>
        <w:spacing w:after="0"/>
        <w:ind w:left="1080"/>
        <w:jc w:val="both"/>
      </w:pPr>
    </w:p>
    <w:p w14:paraId="534E9CB4" w14:textId="77777777" w:rsidR="006D5973" w:rsidRPr="00CA4FEE" w:rsidRDefault="006D5973" w:rsidP="006D5973">
      <w:pPr>
        <w:spacing w:after="0"/>
        <w:jc w:val="both"/>
      </w:pPr>
      <w:r w:rsidRPr="00CA4FEE">
        <w:rPr>
          <w:b/>
          <w:bCs/>
        </w:rPr>
        <w:t>Protocole A/P1/1/03 du 31 janvier 2003</w:t>
      </w:r>
      <w:r w:rsidRPr="00CA4FEE">
        <w:t>, relatif à la définition de la notion de produits originaires des Etats membres de la Communauté Economique des Etats de l’Afrique de l’Ouest</w:t>
      </w:r>
    </w:p>
    <w:p w14:paraId="09DE9975" w14:textId="77777777" w:rsidR="006D5973" w:rsidRPr="00CA4FEE" w:rsidRDefault="006D5973" w:rsidP="006D5973">
      <w:pPr>
        <w:spacing w:after="0"/>
        <w:jc w:val="both"/>
      </w:pPr>
    </w:p>
    <w:p w14:paraId="3BB1DED8" w14:textId="77777777" w:rsidR="006D5973" w:rsidRPr="00CA4FEE" w:rsidRDefault="006D5973" w:rsidP="006D5973">
      <w:pPr>
        <w:jc w:val="both"/>
      </w:pPr>
      <w:r w:rsidRPr="00CA4FEE">
        <w:rPr>
          <w:b/>
          <w:bCs/>
        </w:rPr>
        <w:t>Règlement C/REG.4/05/2008 du 18 mai 2008</w:t>
      </w:r>
      <w:r w:rsidRPr="00CA4FEE">
        <w:t xml:space="preserve"> portant harmonisation des règles régissant le contrôle de la qualité, la certification et la commercialisation des semences végétales et plants dans l’espace CEDEAO</w:t>
      </w:r>
    </w:p>
    <w:p w14:paraId="31BEC6EE" w14:textId="77777777" w:rsidR="006D5973" w:rsidRPr="00CA4FEE" w:rsidRDefault="006D5973" w:rsidP="006D5973">
      <w:pPr>
        <w:jc w:val="both"/>
      </w:pPr>
      <w:r w:rsidRPr="00CA4FEE">
        <w:rPr>
          <w:b/>
          <w:bCs/>
        </w:rPr>
        <w:t>Règlement C/REG.13/12/12 du 2 décembre 2012</w:t>
      </w:r>
      <w:r w:rsidRPr="00CA4FEE">
        <w:t xml:space="preserve">, relatif au contrôle de qualité des engrais dans l'espace CEDEAO </w:t>
      </w:r>
    </w:p>
    <w:p w14:paraId="7EE276B8" w14:textId="77777777" w:rsidR="006D5973" w:rsidRPr="00CA4FEE" w:rsidRDefault="006D5973" w:rsidP="006D5973">
      <w:pPr>
        <w:jc w:val="both"/>
      </w:pPr>
      <w:r w:rsidRPr="00CA4FEE">
        <w:rPr>
          <w:b/>
          <w:bCs/>
        </w:rPr>
        <w:t>Règlement C/REG.3/06/13 du 21 juin 2013</w:t>
      </w:r>
      <w:r w:rsidRPr="00CA4FEE">
        <w:t xml:space="preserve"> définissant la procédure applicable aux intrants plus fortement taxés que les produits finis </w:t>
      </w:r>
    </w:p>
    <w:p w14:paraId="50F15E03" w14:textId="77777777" w:rsidR="006D5973" w:rsidRPr="00CA4FEE" w:rsidRDefault="006D5973" w:rsidP="006D5973">
      <w:pPr>
        <w:jc w:val="both"/>
        <w:rPr>
          <w:b/>
          <w:bCs/>
          <w:color w:val="00B0F0"/>
          <w:sz w:val="24"/>
          <w:szCs w:val="24"/>
        </w:rPr>
      </w:pPr>
      <w:r w:rsidRPr="00CA4FEE">
        <w:rPr>
          <w:b/>
          <w:bCs/>
          <w:color w:val="00B0F0"/>
          <w:sz w:val="24"/>
          <w:szCs w:val="24"/>
        </w:rPr>
        <w:t>Textes communautaires et régionaux de la CEDEAO régissant le commerce des produits de l’Elevage</w:t>
      </w:r>
    </w:p>
    <w:p w14:paraId="56B08BF4" w14:textId="77777777" w:rsidR="006D5973" w:rsidRPr="00CA4FEE" w:rsidRDefault="006D5973" w:rsidP="006D5973">
      <w:pPr>
        <w:jc w:val="both"/>
      </w:pPr>
      <w:r w:rsidRPr="00CA4FEE">
        <w:rPr>
          <w:b/>
          <w:bCs/>
        </w:rPr>
        <w:t>Règlement C/REG.4/05/2008 du 18 mai 2008</w:t>
      </w:r>
      <w:r w:rsidRPr="00CA4FEE">
        <w:t xml:space="preserve"> portant harmonisation des règles régissant le contrôle de la qualité, la certification et la commercialisation des semences végétales et plants dans l’espace CEDEAO</w:t>
      </w:r>
    </w:p>
    <w:p w14:paraId="4DF5FAF0" w14:textId="77777777" w:rsidR="006D5973" w:rsidRPr="00CA4FEE" w:rsidRDefault="006D5973" w:rsidP="006D5973">
      <w:pPr>
        <w:jc w:val="both"/>
      </w:pPr>
      <w:r w:rsidRPr="00CA4FEE">
        <w:rPr>
          <w:b/>
          <w:bCs/>
        </w:rPr>
        <w:t>Règlement C/REG.21/11/10 du 26 novembre</w:t>
      </w:r>
      <w:r w:rsidRPr="00CA4FEE">
        <w:t xml:space="preserve"> 2010, portant harmonisation du cadre structurel et des règles opérationnelles en matière de sécurité sanitaire des végétaux, des animaux et des aliments dans l'espace CEDEAO </w:t>
      </w:r>
    </w:p>
    <w:p w14:paraId="70A8A738" w14:textId="77777777" w:rsidR="006D5973" w:rsidRPr="00CA4FEE" w:rsidRDefault="006D5973" w:rsidP="006D5973">
      <w:r w:rsidRPr="00CA4FEE">
        <w:rPr>
          <w:b/>
          <w:bCs/>
        </w:rPr>
        <w:t xml:space="preserve">Décision A/DEC.5/10/98 du 31 octobre 1998, </w:t>
      </w:r>
      <w:r w:rsidRPr="00CA4FEE">
        <w:t>relative à la règlementation de la transhumance entre les Etats membres de la CEDEAO</w:t>
      </w:r>
    </w:p>
    <w:p w14:paraId="11240DFA" w14:textId="77777777" w:rsidR="006D5973" w:rsidRPr="00CA4FEE" w:rsidRDefault="006D5973" w:rsidP="006D5973">
      <w:pPr>
        <w:jc w:val="both"/>
      </w:pPr>
      <w:r w:rsidRPr="00CA4FEE">
        <w:rPr>
          <w:b/>
          <w:bCs/>
        </w:rPr>
        <w:t>Règlement C/REG.3/01/03 du 28 janvier 2003,</w:t>
      </w:r>
      <w:r w:rsidRPr="00CA4FEE">
        <w:t xml:space="preserve"> relatif à la mise en œuvre de la règlementation de la transhumance entre les Etats membres de la CEDEAO</w:t>
      </w:r>
    </w:p>
    <w:p w14:paraId="2F38E266" w14:textId="77777777" w:rsidR="006D5973" w:rsidRPr="00CA4FEE" w:rsidRDefault="006D5973" w:rsidP="006D5973">
      <w:pPr>
        <w:jc w:val="both"/>
        <w:rPr>
          <w:b/>
          <w:bCs/>
          <w:color w:val="00B0F0"/>
          <w:sz w:val="24"/>
          <w:szCs w:val="24"/>
        </w:rPr>
      </w:pPr>
      <w:r w:rsidRPr="00CA4FEE">
        <w:rPr>
          <w:b/>
          <w:bCs/>
          <w:color w:val="00B0F0"/>
          <w:sz w:val="24"/>
          <w:szCs w:val="24"/>
        </w:rPr>
        <w:t>Textes communautaires et régionaux de la CEDEAO régissant le commerce des produits Halieutiques</w:t>
      </w:r>
    </w:p>
    <w:p w14:paraId="34522DD6" w14:textId="77777777" w:rsidR="006D5973" w:rsidRPr="00CA4FEE" w:rsidRDefault="006D5973" w:rsidP="006D5973">
      <w:r w:rsidRPr="00CA4FEE">
        <w:rPr>
          <w:b/>
          <w:bCs/>
        </w:rPr>
        <w:t>Traité révisé de 1975 de la CEDEAO</w:t>
      </w:r>
      <w:r w:rsidRPr="00CA4FEE">
        <w:t xml:space="preserve"> relatif au Développement Agricole et à la Sécurité Alimentaire </w:t>
      </w:r>
    </w:p>
    <w:p w14:paraId="4FB528DB" w14:textId="77777777" w:rsidR="006D5973" w:rsidRPr="00CA4FEE" w:rsidRDefault="006D5973" w:rsidP="006D5973">
      <w:r w:rsidRPr="00CA4FEE">
        <w:rPr>
          <w:b/>
          <w:bCs/>
        </w:rPr>
        <w:t>Décision A/DEC.11/01/05</w:t>
      </w:r>
      <w:r w:rsidRPr="00CA4FEE">
        <w:t xml:space="preserve"> portant adoption de la Politiques Agricole de le CEDEAO (ECOWAP)  </w:t>
      </w:r>
    </w:p>
    <w:p w14:paraId="73ED49A6" w14:textId="77777777" w:rsidR="006D5973" w:rsidRPr="00CA4FEE" w:rsidRDefault="006D5973" w:rsidP="006D5973">
      <w:pPr>
        <w:jc w:val="both"/>
        <w:rPr>
          <w:b/>
          <w:bCs/>
          <w:color w:val="00B0F0"/>
          <w:sz w:val="24"/>
          <w:szCs w:val="24"/>
        </w:rPr>
      </w:pPr>
      <w:r w:rsidRPr="00CA4FEE">
        <w:rPr>
          <w:b/>
          <w:bCs/>
          <w:color w:val="00B0F0"/>
          <w:sz w:val="24"/>
          <w:szCs w:val="24"/>
        </w:rPr>
        <w:t>Textes communautaires et régionaux de la CEDEAO régissant le commerce des produits Artisanaux</w:t>
      </w:r>
    </w:p>
    <w:p w14:paraId="712F5B50" w14:textId="77777777" w:rsidR="006D5973" w:rsidRPr="00CA4FEE" w:rsidRDefault="006D5973" w:rsidP="006D5973">
      <w:pPr>
        <w:jc w:val="both"/>
      </w:pPr>
      <w:r w:rsidRPr="00CA4FEE">
        <w:rPr>
          <w:b/>
          <w:bCs/>
        </w:rPr>
        <w:t>Protocole A/P1/1/03 du 31 janvier 2003,</w:t>
      </w:r>
      <w:r w:rsidRPr="00CA4FEE">
        <w:t xml:space="preserve"> relatif à la définition de la mission des produits originaires des Etats membres de la CEDEAO</w:t>
      </w:r>
    </w:p>
    <w:p w14:paraId="40CF0F90" w14:textId="77777777" w:rsidR="006D5973" w:rsidRPr="00CA4FEE" w:rsidRDefault="006D5973" w:rsidP="006D5973">
      <w:pPr>
        <w:jc w:val="both"/>
      </w:pPr>
      <w:r w:rsidRPr="00CA4FEE">
        <w:rPr>
          <w:b/>
          <w:bCs/>
        </w:rPr>
        <w:t>Règlement C/REG.1/07/04 du 17 juillet 2004,</w:t>
      </w:r>
      <w:r w:rsidRPr="00CA4FEE">
        <w:t xml:space="preserve"> portant détermination de la liste d’exceptions au critère de classification tarifaire  </w:t>
      </w:r>
    </w:p>
    <w:p w14:paraId="6294D8C2" w14:textId="77777777" w:rsidR="006D5973" w:rsidRPr="00CA4FEE" w:rsidRDefault="006D5973" w:rsidP="006D5973">
      <w:pPr>
        <w:jc w:val="both"/>
        <w:rPr>
          <w:b/>
          <w:bCs/>
          <w:color w:val="00B0F0"/>
          <w:sz w:val="24"/>
          <w:szCs w:val="24"/>
        </w:rPr>
      </w:pPr>
      <w:r w:rsidRPr="00CA4FEE">
        <w:rPr>
          <w:b/>
          <w:bCs/>
          <w:color w:val="00B0F0"/>
          <w:sz w:val="24"/>
          <w:szCs w:val="24"/>
        </w:rPr>
        <w:t>Textes transversaux régissant le commerce dans l’espace CEDEAO</w:t>
      </w:r>
    </w:p>
    <w:p w14:paraId="034C7554" w14:textId="77777777" w:rsidR="006D5973" w:rsidRPr="00CA4FEE" w:rsidRDefault="006D5973" w:rsidP="006D5973">
      <w:pPr>
        <w:spacing w:after="0"/>
        <w:jc w:val="both"/>
      </w:pPr>
      <w:r w:rsidRPr="00CA4FEE">
        <w:rPr>
          <w:b/>
          <w:bCs/>
        </w:rPr>
        <w:lastRenderedPageBreak/>
        <w:t>Convention A/P4/5/82 du 29 mai 1982</w:t>
      </w:r>
      <w:r w:rsidRPr="00CA4FEE">
        <w:t xml:space="preserve"> relative au transit routier Inter-Etats des marchandises </w:t>
      </w:r>
    </w:p>
    <w:p w14:paraId="273DCBBE" w14:textId="77777777" w:rsidR="006D5973" w:rsidRPr="00CA4FEE" w:rsidRDefault="006D5973" w:rsidP="006D5973">
      <w:pPr>
        <w:spacing w:after="0"/>
        <w:jc w:val="both"/>
      </w:pPr>
    </w:p>
    <w:p w14:paraId="08BE02A8" w14:textId="77777777" w:rsidR="006D5973" w:rsidRPr="00CA4FEE" w:rsidRDefault="006D5973" w:rsidP="006D5973">
      <w:pPr>
        <w:spacing w:after="0"/>
        <w:jc w:val="both"/>
      </w:pPr>
      <w:r w:rsidRPr="00CA4FEE">
        <w:rPr>
          <w:b/>
          <w:bCs/>
        </w:rPr>
        <w:t>Règlement C/REG.3/4/02 du 23 avril 2002,</w:t>
      </w:r>
      <w:r w:rsidRPr="00CA4FEE">
        <w:t xml:space="preserve"> relatif à la procédure d’agrément des produits originaires au Schéma de Libéralisation des Echanges de la CEDEAO </w:t>
      </w:r>
    </w:p>
    <w:p w14:paraId="7C78AE36" w14:textId="77777777" w:rsidR="006D5973" w:rsidRPr="00CA4FEE" w:rsidRDefault="006D5973" w:rsidP="006D5973">
      <w:r w:rsidRPr="00CA4FEE">
        <w:rPr>
          <w:b/>
          <w:bCs/>
        </w:rPr>
        <w:t>Traité de Dakar de 2003</w:t>
      </w:r>
      <w:r w:rsidRPr="00CA4FEE">
        <w:t xml:space="preserve"> modifiant le Traité de 1994 </w:t>
      </w:r>
    </w:p>
    <w:p w14:paraId="3CC03CE3" w14:textId="77777777" w:rsidR="006D5973" w:rsidRPr="00CA4FEE" w:rsidRDefault="006D5973" w:rsidP="006D5973">
      <w:pPr>
        <w:jc w:val="both"/>
      </w:pPr>
      <w:r w:rsidRPr="00CA4FEE">
        <w:rPr>
          <w:b/>
          <w:bCs/>
        </w:rPr>
        <w:t>Décision A/DEC.17/01/06 du 12 janvier 2006</w:t>
      </w:r>
      <w:r w:rsidRPr="00CA4FEE">
        <w:t xml:space="preserve">, portant adoption du tarif extérieur commun de la CEDEAO </w:t>
      </w:r>
    </w:p>
    <w:p w14:paraId="35ECA044" w14:textId="77777777" w:rsidR="006D5973" w:rsidRPr="00CA4FEE" w:rsidRDefault="006D5973" w:rsidP="006D5973">
      <w:pPr>
        <w:jc w:val="both"/>
      </w:pPr>
      <w:r w:rsidRPr="00CA4FEE">
        <w:rPr>
          <w:b/>
          <w:bCs/>
        </w:rPr>
        <w:t>Directive C/DIR.1/05/09 du 27 mai 2009</w:t>
      </w:r>
      <w:r w:rsidRPr="00CA4FEE">
        <w:t xml:space="preserve"> portant harmonisation des législations des Etats membres de la CEDEAO en matière de Taxe sur la Valeur Ajoutée (TVA)</w:t>
      </w:r>
    </w:p>
    <w:p w14:paraId="51CD1556" w14:textId="77777777" w:rsidR="006D5973" w:rsidRPr="00CA4FEE" w:rsidRDefault="006D5973" w:rsidP="006D5973">
      <w:pPr>
        <w:jc w:val="both"/>
      </w:pPr>
      <w:r w:rsidRPr="00CA4FEE">
        <w:rPr>
          <w:b/>
          <w:bCs/>
        </w:rPr>
        <w:t>Directive c/dir.2/12/17</w:t>
      </w:r>
      <w:r w:rsidRPr="00CA4FEE">
        <w:t xml:space="preserve"> relative à la modification de la directive c/dir.1/05/09 du 27 mai 2009 portant harmonisation des législations des Etats membres de la CEDEAO en matière de Taxe sur la Valeur Ajoutée (TVA)</w:t>
      </w:r>
    </w:p>
    <w:p w14:paraId="43B86CC4" w14:textId="77777777" w:rsidR="006D5973" w:rsidRPr="00CA4FEE" w:rsidRDefault="006D5973" w:rsidP="006D5973">
      <w:r w:rsidRPr="00CA4FEE">
        <w:rPr>
          <w:b/>
          <w:bCs/>
        </w:rPr>
        <w:t>Règlement C/REG.17/12/13 du 17 décembre 2013</w:t>
      </w:r>
      <w:r w:rsidRPr="00CA4FEE">
        <w:t>, portant adoption des règles d’organisation du Prix Qualité de la CEDEAO</w:t>
      </w:r>
    </w:p>
    <w:p w14:paraId="153183F5" w14:textId="77777777" w:rsidR="006D5973" w:rsidRPr="00CA4FEE" w:rsidRDefault="006D5973" w:rsidP="006D5973">
      <w:pPr>
        <w:jc w:val="both"/>
      </w:pPr>
      <w:r w:rsidRPr="00CA4FEE">
        <w:rPr>
          <w:b/>
          <w:bCs/>
        </w:rPr>
        <w:t>Acte Additionnel A/SA.2/12/17,</w:t>
      </w:r>
      <w:r w:rsidRPr="00CA4FEE">
        <w:t xml:space="preserve"> portant adoption du code de douanes de la CEDEAO</w:t>
      </w:r>
    </w:p>
    <w:p w14:paraId="279FFEEF" w14:textId="77777777" w:rsidR="006D5973" w:rsidRPr="00CA4FEE" w:rsidRDefault="006D5973" w:rsidP="006D5973">
      <w:pPr>
        <w:jc w:val="both"/>
        <w:rPr>
          <w:b/>
          <w:bCs/>
          <w:color w:val="00B0F0"/>
          <w:sz w:val="24"/>
          <w:szCs w:val="24"/>
        </w:rPr>
      </w:pPr>
      <w:r w:rsidRPr="00CA4FEE">
        <w:rPr>
          <w:b/>
          <w:bCs/>
          <w:color w:val="00B0F0"/>
          <w:sz w:val="24"/>
          <w:szCs w:val="24"/>
        </w:rPr>
        <w:t>Textes régissant le commerce des produits Agro-</w:t>
      </w:r>
      <w:proofErr w:type="spellStart"/>
      <w:r w:rsidRPr="00CA4FEE">
        <w:rPr>
          <w:b/>
          <w:bCs/>
          <w:color w:val="00B0F0"/>
          <w:sz w:val="24"/>
          <w:szCs w:val="24"/>
        </w:rPr>
        <w:t>sylvo</w:t>
      </w:r>
      <w:proofErr w:type="spellEnd"/>
      <w:r w:rsidRPr="00CA4FEE">
        <w:rPr>
          <w:b/>
          <w:bCs/>
          <w:color w:val="00B0F0"/>
          <w:sz w:val="24"/>
          <w:szCs w:val="24"/>
        </w:rPr>
        <w:t>-pastorales et halieutiques dans l’espace CEDEAO</w:t>
      </w:r>
    </w:p>
    <w:p w14:paraId="4003E1C1" w14:textId="77777777" w:rsidR="006D5973" w:rsidRPr="00CA4FEE" w:rsidRDefault="006D5973" w:rsidP="006D5973">
      <w:r w:rsidRPr="00CA4FEE">
        <w:rPr>
          <w:b/>
          <w:bCs/>
        </w:rPr>
        <w:t>Traité de Lagos du 28 Mai 1975</w:t>
      </w:r>
      <w:r w:rsidRPr="00CA4FEE">
        <w:t>, relatif à l’institution de la CEDEAO </w:t>
      </w:r>
    </w:p>
    <w:p w14:paraId="6FF8752A" w14:textId="77777777" w:rsidR="006D5973" w:rsidRPr="00CA4FEE" w:rsidRDefault="006D5973" w:rsidP="006D5973">
      <w:r w:rsidRPr="00CA4FEE">
        <w:rPr>
          <w:b/>
          <w:bCs/>
        </w:rPr>
        <w:t>Protocole A/P 1/5/79 du 29 mai 1979</w:t>
      </w:r>
      <w:r w:rsidRPr="00CA4FEE">
        <w:t>, qui stipule les droits des citoyens de la Communauté d’entrer dans les États membres, d’y résider et de s’y établir</w:t>
      </w:r>
    </w:p>
    <w:p w14:paraId="29B3B41C" w14:textId="77777777" w:rsidR="006D5973" w:rsidRPr="00CA4FEE" w:rsidRDefault="006D5973" w:rsidP="006D5973">
      <w:r w:rsidRPr="00CA4FEE">
        <w:rPr>
          <w:b/>
          <w:bCs/>
        </w:rPr>
        <w:t>Décision A/DEC 20/5/1980</w:t>
      </w:r>
      <w:r w:rsidRPr="00CA4FEE">
        <w:t>, ordonnant au Secrétaire exécutif de la CEDEAO d’exécuter un programme de transport à long terme et un programme de transport à court terme</w:t>
      </w:r>
    </w:p>
    <w:p w14:paraId="6E1166B8" w14:textId="77777777" w:rsidR="006D5973" w:rsidRPr="00CA4FEE" w:rsidRDefault="006D5973" w:rsidP="006D5973">
      <w:r w:rsidRPr="00CA4FEE">
        <w:rPr>
          <w:b/>
          <w:bCs/>
        </w:rPr>
        <w:t>Décision A/DEC 2/5/81, de 1981</w:t>
      </w:r>
      <w:r w:rsidRPr="00CA4FEE">
        <w:t xml:space="preserve"> au sujet de l’harmonisation de la législation des grands axes routiers dans la Communauté, est liée à la Convention sur les transports routiers</w:t>
      </w:r>
    </w:p>
    <w:p w14:paraId="2C9E84CD" w14:textId="77777777" w:rsidR="006D5973" w:rsidRPr="00CA4FEE" w:rsidRDefault="006D5973" w:rsidP="006D5973">
      <w:pPr>
        <w:jc w:val="both"/>
      </w:pPr>
      <w:r w:rsidRPr="00CA4FEE">
        <w:rPr>
          <w:b/>
          <w:bCs/>
        </w:rPr>
        <w:t>Convention (A/P2/5/82) de la CEDEAO du 29 mai 1982</w:t>
      </w:r>
      <w:r w:rsidRPr="00CA4FEE">
        <w:t xml:space="preserve">, portant réglementation des transports routiers entre les États membres de la CEDEAO </w:t>
      </w:r>
    </w:p>
    <w:p w14:paraId="58596BF0" w14:textId="77777777" w:rsidR="006D5973" w:rsidRPr="00CA4FEE" w:rsidRDefault="006D5973" w:rsidP="006D5973">
      <w:pPr>
        <w:jc w:val="both"/>
      </w:pPr>
      <w:r w:rsidRPr="00CA4FEE">
        <w:rPr>
          <w:b/>
          <w:bCs/>
        </w:rPr>
        <w:t>Convention (A/P4/5/82) du 29 Mai 1982,</w:t>
      </w:r>
      <w:r w:rsidRPr="00CA4FEE">
        <w:t xml:space="preserve"> relative au transport routier inter-Etats</w:t>
      </w:r>
    </w:p>
    <w:p w14:paraId="798EAA41" w14:textId="77777777" w:rsidR="006D5973" w:rsidRPr="00CA4FEE" w:rsidRDefault="006D5973" w:rsidP="006D5973">
      <w:pPr>
        <w:jc w:val="both"/>
      </w:pPr>
      <w:r w:rsidRPr="00CA4FEE">
        <w:rPr>
          <w:b/>
          <w:bCs/>
        </w:rPr>
        <w:t>Protocole (A/P 1/5/82) du 29 mai 1982,</w:t>
      </w:r>
      <w:r w:rsidRPr="00CA4FEE">
        <w:t xml:space="preserve"> portant création d’une carte brune CEDEAO relative à l’assurance responsabilité civile aux tiers. </w:t>
      </w:r>
    </w:p>
    <w:p w14:paraId="7126782C" w14:textId="77777777" w:rsidR="006D5973" w:rsidRPr="00CA4FEE" w:rsidRDefault="006D5973" w:rsidP="006D5973">
      <w:pPr>
        <w:jc w:val="both"/>
        <w:rPr>
          <w:sz w:val="24"/>
          <w:szCs w:val="24"/>
        </w:rPr>
      </w:pPr>
      <w:r w:rsidRPr="00CA4FEE">
        <w:rPr>
          <w:b/>
          <w:bCs/>
        </w:rPr>
        <w:t>Décision C/DEC/2/5/83</w:t>
      </w:r>
      <w:r w:rsidRPr="00CA4FEE">
        <w:t xml:space="preserve">, relative à la mise en vigueur de la carte brune d’assurance de la CEDEAO </w:t>
      </w:r>
    </w:p>
    <w:p w14:paraId="6BDD13DD" w14:textId="77777777" w:rsidR="006D5973" w:rsidRPr="00CA4FEE" w:rsidRDefault="006D5973" w:rsidP="006D5973">
      <w:pPr>
        <w:jc w:val="both"/>
      </w:pPr>
      <w:r w:rsidRPr="00CA4FEE">
        <w:rPr>
          <w:b/>
          <w:bCs/>
        </w:rPr>
        <w:t>Décision A/</w:t>
      </w:r>
      <w:proofErr w:type="spellStart"/>
      <w:r w:rsidRPr="00CA4FEE">
        <w:rPr>
          <w:b/>
          <w:bCs/>
        </w:rPr>
        <w:t>Dec</w:t>
      </w:r>
      <w:proofErr w:type="spellEnd"/>
      <w:r w:rsidRPr="00CA4FEE">
        <w:rPr>
          <w:b/>
          <w:bCs/>
        </w:rPr>
        <w:t>/ 4/11/1984,</w:t>
      </w:r>
      <w:r w:rsidRPr="00CA4FEE">
        <w:t xml:space="preserve"> fait référence au Programme de transports de 1980, les Chefs d’État de la CEDEAO sont convenus, en principe, de créer l’armement de cabotage CEDEAO</w:t>
      </w:r>
    </w:p>
    <w:p w14:paraId="1B4FE412" w14:textId="77777777" w:rsidR="006D5973" w:rsidRPr="00CA4FEE" w:rsidRDefault="006D5973" w:rsidP="006D5973">
      <w:pPr>
        <w:jc w:val="both"/>
      </w:pPr>
      <w:r w:rsidRPr="00CA4FEE">
        <w:rPr>
          <w:b/>
          <w:bCs/>
        </w:rPr>
        <w:t>Convention (A/P 1/7/85), du 6 juillet 1985,</w:t>
      </w:r>
      <w:r w:rsidRPr="00CA4FEE">
        <w:t xml:space="preserve"> relative à l’importation temporaire dans les États membres des véhicules de transport des personnes</w:t>
      </w:r>
    </w:p>
    <w:p w14:paraId="62ED57D6" w14:textId="77777777" w:rsidR="006D5973" w:rsidRPr="00CA4FEE" w:rsidRDefault="006D5973" w:rsidP="006D5973">
      <w:pPr>
        <w:jc w:val="both"/>
        <w:rPr>
          <w:sz w:val="24"/>
          <w:szCs w:val="24"/>
        </w:rPr>
      </w:pPr>
      <w:r w:rsidRPr="00CA4FEE">
        <w:rPr>
          <w:b/>
          <w:bCs/>
        </w:rPr>
        <w:t xml:space="preserve">Décision C/DEC 8/12/88 du 6 décembre 1988 </w:t>
      </w:r>
      <w:r w:rsidRPr="00CA4FEE">
        <w:t>énonce la deuxième phase du programme routier de la CEDEAO concernant le raccordement des routes pour améliorer l’accès aux pays sans littoral, et mentionne le Programme de transport de 1980.</w:t>
      </w:r>
    </w:p>
    <w:p w14:paraId="464F89A7" w14:textId="77777777" w:rsidR="006D5973" w:rsidRPr="00CA4FEE" w:rsidRDefault="006D5973" w:rsidP="006D5973">
      <w:pPr>
        <w:jc w:val="both"/>
        <w:rPr>
          <w:sz w:val="24"/>
          <w:szCs w:val="24"/>
        </w:rPr>
      </w:pPr>
      <w:r w:rsidRPr="00CA4FEE">
        <w:rPr>
          <w:b/>
          <w:bCs/>
        </w:rPr>
        <w:lastRenderedPageBreak/>
        <w:t>Résolution C/RES. 1/12/88 du 6 décembre 1988,</w:t>
      </w:r>
      <w:r w:rsidRPr="00CA4FEE">
        <w:t xml:space="preserve"> relative à l’application du programme du Haut Comité des transports terrestres. </w:t>
      </w:r>
    </w:p>
    <w:p w14:paraId="7460AE7F" w14:textId="77777777" w:rsidR="006D5973" w:rsidRPr="00CA4FEE" w:rsidRDefault="006D5973" w:rsidP="006D5973">
      <w:pPr>
        <w:jc w:val="both"/>
        <w:rPr>
          <w:sz w:val="24"/>
          <w:szCs w:val="24"/>
        </w:rPr>
      </w:pPr>
      <w:r w:rsidRPr="00CA4FEE">
        <w:rPr>
          <w:b/>
          <w:bCs/>
        </w:rPr>
        <w:t xml:space="preserve">Résolution C/RES 7/5/90 du 27 mai 1990, </w:t>
      </w:r>
      <w:r w:rsidRPr="00CA4FEE">
        <w:t xml:space="preserve">relative à la mise en place d’un cadre administratif approprié qui devait servir de rappel à la Décision de 1981. </w:t>
      </w:r>
    </w:p>
    <w:p w14:paraId="3C132E61" w14:textId="77777777" w:rsidR="006D5973" w:rsidRPr="00CA4FEE" w:rsidRDefault="006D5973" w:rsidP="006D5973">
      <w:pPr>
        <w:jc w:val="both"/>
        <w:rPr>
          <w:sz w:val="24"/>
          <w:szCs w:val="24"/>
        </w:rPr>
      </w:pPr>
      <w:r w:rsidRPr="00CA4FEE">
        <w:rPr>
          <w:b/>
          <w:bCs/>
        </w:rPr>
        <w:t>Résolution C/RES 4/5/90 du 27 Mai 1990</w:t>
      </w:r>
      <w:r w:rsidRPr="00CA4FEE">
        <w:t>, relative à la réduction des postes de contrôle routier dans les États membres de la CEDEAO.</w:t>
      </w:r>
    </w:p>
    <w:p w14:paraId="46E71CF9" w14:textId="77777777" w:rsidR="006D5973" w:rsidRPr="00CA4FEE" w:rsidRDefault="006D5973" w:rsidP="006D5973">
      <w:pPr>
        <w:jc w:val="both"/>
        <w:rPr>
          <w:sz w:val="24"/>
          <w:szCs w:val="24"/>
          <w:highlight w:val="yellow"/>
        </w:rPr>
      </w:pPr>
      <w:r w:rsidRPr="00CA4FEE">
        <w:rPr>
          <w:b/>
          <w:bCs/>
        </w:rPr>
        <w:t>Résolution C/RES/ 3/5/90 du 27 mai 1990,</w:t>
      </w:r>
      <w:r w:rsidRPr="00CA4FEE">
        <w:t xml:space="preserve"> informatiser leurs systèmes d’immatriculation des véhicules de la manière proposée.</w:t>
      </w:r>
    </w:p>
    <w:p w14:paraId="2B4F5F37" w14:textId="77777777" w:rsidR="006D5973" w:rsidRPr="00CA4FEE" w:rsidRDefault="006D5973" w:rsidP="006D5973">
      <w:pPr>
        <w:rPr>
          <w:highlight w:val="yellow"/>
        </w:rPr>
      </w:pPr>
      <w:r w:rsidRPr="00CA4FEE">
        <w:rPr>
          <w:b/>
          <w:bCs/>
        </w:rPr>
        <w:t xml:space="preserve">Résolution C/RES 5/5/90 du 27 mai 1990, </w:t>
      </w:r>
      <w:r w:rsidRPr="00CA4FEE">
        <w:t>d’installer des pont-bascule et des instruments de contrôle de charge pour vérifier les tonnages transportés et les charges à l’essieu</w:t>
      </w:r>
      <w:r w:rsidRPr="00CA4FEE">
        <w:rPr>
          <w:highlight w:val="yellow"/>
        </w:rPr>
        <w:t xml:space="preserve"> </w:t>
      </w:r>
    </w:p>
    <w:p w14:paraId="1F0483E5" w14:textId="77777777" w:rsidR="006D5973" w:rsidRPr="00CA4FEE" w:rsidRDefault="006D5973" w:rsidP="006D5973">
      <w:pPr>
        <w:rPr>
          <w:highlight w:val="yellow"/>
        </w:rPr>
      </w:pPr>
      <w:r w:rsidRPr="00CA4FEE">
        <w:rPr>
          <w:b/>
          <w:bCs/>
        </w:rPr>
        <w:t>Décision CDEC 7/7/91 du 3 juillet 1991,</w:t>
      </w:r>
      <w:r w:rsidRPr="00CA4FEE">
        <w:t xml:space="preserve"> sur la circulation routière basés sur une limitation à 11,5 tonnes de la charge à l’essieu</w:t>
      </w:r>
    </w:p>
    <w:p w14:paraId="0B44A38A" w14:textId="77777777" w:rsidR="006D5973" w:rsidRPr="00CA4FEE" w:rsidRDefault="006D5973" w:rsidP="006D5973">
      <w:pPr>
        <w:rPr>
          <w:highlight w:val="yellow"/>
        </w:rPr>
      </w:pPr>
      <w:r w:rsidRPr="00CA4FEE">
        <w:rPr>
          <w:b/>
          <w:bCs/>
        </w:rPr>
        <w:t xml:space="preserve">Résolution C/RES 8/7/91, du 3 juillet </w:t>
      </w:r>
      <w:proofErr w:type="gramStart"/>
      <w:r w:rsidRPr="00CA4FEE">
        <w:rPr>
          <w:b/>
          <w:bCs/>
        </w:rPr>
        <w:t>1991,</w:t>
      </w:r>
      <w:r w:rsidRPr="00CA4FEE">
        <w:t xml:space="preserve">  sur</w:t>
      </w:r>
      <w:proofErr w:type="gramEnd"/>
      <w:r w:rsidRPr="00CA4FEE">
        <w:t xml:space="preserve"> les itinéraires et les horaires, demandait aux États membres de conclure des accords bilatéraux de transport aérien en vue de faciliter l’intégration économique et politique, et de négocier l’octroi des droits de la Cinquième liberté</w:t>
      </w:r>
    </w:p>
    <w:p w14:paraId="63429336" w14:textId="77777777" w:rsidR="006D5973" w:rsidRPr="00CA4FEE" w:rsidRDefault="006D5973" w:rsidP="006D5973">
      <w:pPr>
        <w:rPr>
          <w:highlight w:val="yellow"/>
        </w:rPr>
      </w:pPr>
      <w:r w:rsidRPr="00CA4FEE">
        <w:rPr>
          <w:b/>
          <w:bCs/>
        </w:rPr>
        <w:t>Directive C/DIR 1/7/92, juillet 1992,</w:t>
      </w:r>
      <w:r w:rsidRPr="00CA4FEE">
        <w:t xml:space="preserve"> traite de la création d’agences nationales de la sécurité routière dans les États de la CEDEAO.</w:t>
      </w:r>
    </w:p>
    <w:p w14:paraId="0C1673A9" w14:textId="77777777" w:rsidR="006D5973" w:rsidRPr="00CA4FEE" w:rsidRDefault="006D5973" w:rsidP="006D5973">
      <w:pPr>
        <w:rPr>
          <w:highlight w:val="yellow"/>
        </w:rPr>
      </w:pPr>
      <w:r w:rsidRPr="00CA4FEE">
        <w:rPr>
          <w:b/>
          <w:bCs/>
        </w:rPr>
        <w:t>Décision A/DEC du 2/8/94 6 août 1994</w:t>
      </w:r>
      <w:r w:rsidRPr="00CA4FEE">
        <w:t>, sur le Programme de sécurité routière et de prévention des accidents de la CEDEAO</w:t>
      </w:r>
    </w:p>
    <w:p w14:paraId="545FC33B" w14:textId="77777777" w:rsidR="006D5973" w:rsidRPr="00CA4FEE" w:rsidRDefault="006D5973" w:rsidP="006D5973">
      <w:pPr>
        <w:rPr>
          <w:highlight w:val="yellow"/>
        </w:rPr>
      </w:pPr>
      <w:r w:rsidRPr="00CA4FEE">
        <w:rPr>
          <w:b/>
          <w:bCs/>
        </w:rPr>
        <w:t>Décision A/DEC3/8/94,</w:t>
      </w:r>
      <w:r w:rsidRPr="00CA4FEE">
        <w:t xml:space="preserve"> sur les programmes de transport de la CEDEAO</w:t>
      </w:r>
    </w:p>
    <w:p w14:paraId="78D1880B" w14:textId="77777777" w:rsidR="006D5973" w:rsidRPr="00CA4FEE" w:rsidRDefault="006D5973" w:rsidP="006D5973">
      <w:r w:rsidRPr="00CA4FEE">
        <w:rPr>
          <w:b/>
          <w:bCs/>
        </w:rPr>
        <w:t>Décision A/DEC13/01/03,</w:t>
      </w:r>
      <w:r w:rsidRPr="00CA4FEE">
        <w:t xml:space="preserve"> sur le programme de facilitation, l’Organisation du Corridor Abidjan-Lagos Corridor (OCAL) </w:t>
      </w:r>
    </w:p>
    <w:p w14:paraId="195D177E" w14:textId="77777777" w:rsidR="006D5973" w:rsidRPr="00CA4FEE" w:rsidRDefault="006D5973" w:rsidP="006D5973">
      <w:r w:rsidRPr="00CA4FEE">
        <w:rPr>
          <w:b/>
          <w:bCs/>
        </w:rPr>
        <w:t>Traité de Lagos du 28 Mai 1975</w:t>
      </w:r>
      <w:r w:rsidRPr="00CA4FEE">
        <w:t>, relatif à l’institution de la CEDEAO révisé en 1991</w:t>
      </w:r>
    </w:p>
    <w:p w14:paraId="235AFC3D" w14:textId="77777777" w:rsidR="006D5973" w:rsidRPr="00CA4FEE" w:rsidRDefault="006D5973" w:rsidP="006D5973">
      <w:pPr>
        <w:jc w:val="both"/>
      </w:pPr>
      <w:r w:rsidRPr="00CA4FEE">
        <w:rPr>
          <w:b/>
          <w:bCs/>
        </w:rPr>
        <w:t>Traité de Cotonou du 24 Juillet 1993,</w:t>
      </w:r>
      <w:r w:rsidRPr="00CA4FEE">
        <w:t xml:space="preserve"> réaffirme le traité de 1975 instituant la CEDEAO</w:t>
      </w:r>
    </w:p>
    <w:p w14:paraId="748B843A" w14:textId="77777777" w:rsidR="006D5973" w:rsidRPr="00CA4FEE" w:rsidRDefault="006D5973" w:rsidP="006D5973">
      <w:pPr>
        <w:rPr>
          <w:b/>
          <w:bCs/>
        </w:rPr>
      </w:pPr>
      <w:r w:rsidRPr="00CA4FEE">
        <w:rPr>
          <w:b/>
          <w:bCs/>
        </w:rPr>
        <w:t>Traité révisé de 2006,</w:t>
      </w:r>
      <w:r w:rsidRPr="00CA4FEE">
        <w:t xml:space="preserve"> réaffirme les engagements pris dans le cadre du traité de 1993 dans le domaine de la politique des transports.</w:t>
      </w:r>
    </w:p>
    <w:p w14:paraId="275C9DA2" w14:textId="77777777" w:rsidR="006D5973" w:rsidRPr="00CA4FEE" w:rsidRDefault="006D5973" w:rsidP="006D5973">
      <w:pPr>
        <w:jc w:val="both"/>
        <w:rPr>
          <w:b/>
          <w:bCs/>
          <w:color w:val="00B0F0"/>
          <w:sz w:val="24"/>
          <w:szCs w:val="24"/>
        </w:rPr>
      </w:pPr>
      <w:r w:rsidRPr="00CA4FEE">
        <w:rPr>
          <w:b/>
          <w:bCs/>
          <w:color w:val="00B0F0"/>
          <w:sz w:val="24"/>
          <w:szCs w:val="24"/>
        </w:rPr>
        <w:t>Textes régissant le commerce des produits de l’Elevage, et la santé dans l’Espace UEMOA</w:t>
      </w:r>
    </w:p>
    <w:p w14:paraId="27180D5F" w14:textId="77777777" w:rsidR="006D5973" w:rsidRPr="00CA4FEE" w:rsidRDefault="006D5973" w:rsidP="006D5973">
      <w:pPr>
        <w:jc w:val="both"/>
      </w:pPr>
      <w:r w:rsidRPr="00CA4FEE">
        <w:rPr>
          <w:b/>
          <w:bCs/>
        </w:rPr>
        <w:t>Règlement n°07/2007/CM/UEMOA du 06 avril 2007,</w:t>
      </w:r>
      <w:r w:rsidRPr="00CA4FEE">
        <w:t xml:space="preserve"> relatif à la sécurité sanitaire des végétaux, des animaux et des aliments dans l’UEMOA. </w:t>
      </w:r>
    </w:p>
    <w:p w14:paraId="60C5ADDB" w14:textId="77777777" w:rsidR="006D5973" w:rsidRPr="00CA4FEE" w:rsidRDefault="006D5973" w:rsidP="006D5973">
      <w:pPr>
        <w:jc w:val="both"/>
      </w:pPr>
      <w:r w:rsidRPr="00CA4FEE">
        <w:rPr>
          <w:b/>
          <w:bCs/>
        </w:rPr>
        <w:t>Règlement n°03/2009/CM/UEMOA du 27 mars 2009</w:t>
      </w:r>
      <w:r w:rsidRPr="00CA4FEE">
        <w:t>, portant harmonisation des règles régissant le contrôle de qualité, la certification et la commercialisation des semences végétales et plants dans l’UEMOA</w:t>
      </w:r>
    </w:p>
    <w:p w14:paraId="1AAB9B2E" w14:textId="77777777" w:rsidR="006D5973" w:rsidRPr="00CA4FEE" w:rsidRDefault="006D5973" w:rsidP="006D5973">
      <w:pPr>
        <w:jc w:val="both"/>
      </w:pPr>
      <w:r w:rsidRPr="00CA4FEE">
        <w:rPr>
          <w:b/>
          <w:bCs/>
        </w:rPr>
        <w:t>Règlement n°07/2009/CM/UEMOA du 26 juin 2009,</w:t>
      </w:r>
      <w:r w:rsidRPr="00CA4FEE">
        <w:t xml:space="preserve"> portant règlementation de la mutualité sociale </w:t>
      </w:r>
    </w:p>
    <w:p w14:paraId="446CE769" w14:textId="77777777" w:rsidR="006D5973" w:rsidRPr="00CA4FEE" w:rsidRDefault="006D5973" w:rsidP="006D5973">
      <w:pPr>
        <w:jc w:val="both"/>
      </w:pPr>
      <w:r w:rsidRPr="00CA4FEE">
        <w:rPr>
          <w:b/>
          <w:bCs/>
        </w:rPr>
        <w:t>Règlement n° ° 07/2006/CM/UEMOA</w:t>
      </w:r>
      <w:r w:rsidRPr="00CA4FEE">
        <w:t xml:space="preserve">, relative à la pharmacie vétérinaire  </w:t>
      </w:r>
    </w:p>
    <w:p w14:paraId="20F68DB9" w14:textId="77777777" w:rsidR="006D5973" w:rsidRPr="00CA4FEE" w:rsidRDefault="006D5973" w:rsidP="006D5973">
      <w:pPr>
        <w:jc w:val="both"/>
      </w:pPr>
      <w:r w:rsidRPr="00CA4FEE">
        <w:rPr>
          <w:b/>
          <w:bCs/>
        </w:rPr>
        <w:t>Décision n°08/2010/CM/UEMOA du 1</w:t>
      </w:r>
      <w:r w:rsidRPr="00CA4FEE">
        <w:rPr>
          <w:b/>
          <w:bCs/>
          <w:vertAlign w:val="superscript"/>
        </w:rPr>
        <w:t>er</w:t>
      </w:r>
      <w:r w:rsidRPr="00CA4FEE">
        <w:rPr>
          <w:b/>
          <w:bCs/>
        </w:rPr>
        <w:t xml:space="preserve"> octobre 2010,</w:t>
      </w:r>
      <w:r w:rsidRPr="00CA4FEE">
        <w:t xml:space="preserve"> Adoption Du Guide De Bonnes Pratiques De Fabrication Des Produits Pharmaceutiques A Usage Humain Dans Les Etats Membres de l’UEMOA</w:t>
      </w:r>
    </w:p>
    <w:p w14:paraId="2DA7BF3C" w14:textId="77777777" w:rsidR="006D5973" w:rsidRPr="00CA4FEE" w:rsidRDefault="006D5973" w:rsidP="006D5973">
      <w:pPr>
        <w:jc w:val="both"/>
      </w:pPr>
      <w:r w:rsidRPr="00CA4FEE">
        <w:rPr>
          <w:b/>
          <w:bCs/>
        </w:rPr>
        <w:lastRenderedPageBreak/>
        <w:t>Décision n°07/2010/CM/UEMOA du 1</w:t>
      </w:r>
      <w:r w:rsidRPr="00CA4FEE">
        <w:rPr>
          <w:b/>
          <w:bCs/>
          <w:vertAlign w:val="superscript"/>
        </w:rPr>
        <w:t>er</w:t>
      </w:r>
      <w:r w:rsidRPr="00CA4FEE">
        <w:rPr>
          <w:b/>
          <w:bCs/>
        </w:rPr>
        <w:t xml:space="preserve"> octobre 2010,</w:t>
      </w:r>
      <w:r w:rsidRPr="00CA4FEE">
        <w:t xml:space="preserve"> portant adoption des lignes directrices pour l’homologation des produits cosmétiques dans les Etats membres de l’UEMOA</w:t>
      </w:r>
    </w:p>
    <w:p w14:paraId="17603026" w14:textId="77777777" w:rsidR="006D5973" w:rsidRPr="00CA4FEE" w:rsidRDefault="006D5973" w:rsidP="006D5973">
      <w:pPr>
        <w:jc w:val="both"/>
      </w:pPr>
      <w:r w:rsidRPr="00CA4FEE">
        <w:rPr>
          <w:b/>
          <w:bCs/>
        </w:rPr>
        <w:t>Décision n°10/2010/CM/UEMOA du 1</w:t>
      </w:r>
      <w:r w:rsidRPr="00CA4FEE">
        <w:rPr>
          <w:b/>
          <w:bCs/>
          <w:vertAlign w:val="superscript"/>
        </w:rPr>
        <w:t>er</w:t>
      </w:r>
      <w:r w:rsidRPr="00CA4FEE">
        <w:rPr>
          <w:b/>
          <w:bCs/>
        </w:rPr>
        <w:t xml:space="preserve"> octobre 2010,</w:t>
      </w:r>
      <w:r w:rsidRPr="00CA4FEE">
        <w:t xml:space="preserve"> portant adoption des lignes directrices pour le contrôle de l’information et la publicité sur les médicaments auprès des professionnels de la santé dans les Etats membres de l’UEMOA</w:t>
      </w:r>
    </w:p>
    <w:p w14:paraId="6023E2FE" w14:textId="77777777" w:rsidR="006D5973" w:rsidRPr="00CA4FEE" w:rsidRDefault="006D5973" w:rsidP="006D5973">
      <w:pPr>
        <w:jc w:val="both"/>
      </w:pPr>
      <w:r w:rsidRPr="00CA4FEE">
        <w:rPr>
          <w:b/>
          <w:bCs/>
        </w:rPr>
        <w:t>Règlement n°03/2012/CM/UEMOA du 10 mai 2012</w:t>
      </w:r>
      <w:r w:rsidRPr="00CA4FEE">
        <w:t>, portant adoption du Plan Comptable des Mutuelles Sociales au sein de l’UEMOA</w:t>
      </w:r>
    </w:p>
    <w:p w14:paraId="167CCE0D" w14:textId="77777777" w:rsidR="00AA54AE" w:rsidRDefault="00AA54AE"/>
    <w:sectPr w:rsidR="00AA54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973"/>
    <w:rsid w:val="00200590"/>
    <w:rsid w:val="006D5973"/>
    <w:rsid w:val="00AA54AE"/>
  </w:rsids>
  <m:mathPr>
    <m:mathFont m:val="Cambria Math"/>
    <m:brkBin m:val="before"/>
    <m:brkBinSub m:val="--"/>
    <m:smallFrac m:val="0"/>
    <m:dispDef/>
    <m:lMargin m:val="0"/>
    <m:rMargin m:val="0"/>
    <m:defJc m:val="centerGroup"/>
    <m:wrapIndent m:val="1440"/>
    <m:intLim m:val="subSup"/>
    <m:naryLim m:val="undOvr"/>
  </m:mathPr>
  <w:themeFontLang w:val="fr-BF"/>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04A75"/>
  <w15:chartTrackingRefBased/>
  <w15:docId w15:val="{49146C41-0050-43D4-B8D9-3A31B1D36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F"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973"/>
    <w:rPr>
      <w:kern w:val="0"/>
      <w:lang w:val="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59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1219</Words>
  <Characters>6949</Characters>
  <Application>Microsoft Office Word</Application>
  <DocSecurity>0</DocSecurity>
  <Lines>57</Lines>
  <Paragraphs>16</Paragraphs>
  <ScaleCrop>false</ScaleCrop>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2024-07-20T11:05:00Z</dcterms:created>
  <dcterms:modified xsi:type="dcterms:W3CDTF">2024-07-20T11:07:00Z</dcterms:modified>
</cp:coreProperties>
</file>